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8.png" ContentType="image/png"/>
  <Override PartName="/word/media/rId36.png" ContentType="image/png"/>
  <Override PartName="/word/media/rId32.png" ContentType="image/png"/>
  <Override PartName="/word/media/rId29.png" ContentType="image/png"/>
  <Override PartName="/word/media/rId26.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22</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pronounced</w:t>
      </w:r>
      <w:r>
        <w:t xml:space="preserve"> </w:t>
      </w:r>
      <w:r>
        <w:t xml:space="preserve">than</w:t>
      </w:r>
      <w:r>
        <w:t xml:space="preserve"> </w:t>
      </w:r>
      <w:r>
        <w:t xml:space="preserve">in</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In</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periods</w:t>
      </w:r>
      <w:r>
        <w:t xml:space="preserve"> </w:t>
      </w:r>
      <w:r>
        <w:t xml:space="preserve">relating</w:t>
      </w:r>
      <w:r>
        <w:t xml:space="preserve"> </w:t>
      </w:r>
      <w:r>
        <w:t xml:space="preserve">to</w:t>
      </w:r>
      <w:r>
        <w:t xml:space="preserve"> </w:t>
      </w:r>
      <w:r>
        <w:t xml:space="preserve">different</w:t>
      </w:r>
      <w:r>
        <w:t xml:space="preserve"> </w:t>
      </w:r>
      <w:r>
        <w:t xml:space="preserve">cultural</w:t>
      </w:r>
      <w:r>
        <w:t xml:space="preserve"> </w:t>
      </w:r>
      <w:r>
        <w:t xml:space="preserve">interactions.</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European</w:t>
      </w:r>
      <w:r>
        <w:t xml:space="preserve"> </w:t>
      </w:r>
      <w:r>
        <w:t xml:space="preserve">presence</w:t>
      </w:r>
      <w:r>
        <w:t xml:space="preserve"> </w:t>
      </w:r>
      <w:r>
        <w:t xml:space="preserve">period</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w:t>
      </w:r>
      <w:r>
        <w:t xml:space="preserve"> </w:t>
      </w:r>
      <w:r>
        <w:t xml:space="preserve">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were present.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arrival due to participation in a larger scale exchange network. I also predict that after the European presence became established there will be new patterns in the spatial distributions of ornaments at Kiwulan that indicate increasing social inequality. I hypothesize that after 1662 when the European presence declined and the Chinese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arrival, and a lesser diversity after the Chinese presence became established, I compare frequencies of ornament types between different time periods. To test the prediction that after European arrival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w:t>
      </w:r>
    </w:p>
    <w:p>
      <w:pPr>
        <w:pStyle w:val="BodyText"/>
      </w:pPr>
      <w:r>
        <w:t xml:space="preserve">I identify the first European arrival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artifact counts</w:t>
      </w:r>
    </w:p>
    <w:p>
      <w:pPr>
        <w:pStyle w:val="TableCaption"/>
      </w:pPr>
      <w:r>
        <w:t xml:space="preserve">Table 1: Ornament subtype at Kiwulan. The numbers represent artifact counts</w:t>
      </w:r>
    </w:p>
    <w:tbl>
      <w:tblPr>
        <w:tblStyle w:val="Table"/>
        <w:tblW w:type="pct" w:w="0.0"/>
        <w:tblLook w:firstRow="1"/>
        <w:tblCaption w:val="Table 1: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reprodicibility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XXX.XXX. Also in this version-controlled compendium</w:t>
      </w:r>
      <w:r>
        <w:t xml:space="preserve"> </w:t>
      </w:r>
      <w:r>
        <w:t xml:space="preserve">(Marwick et al., 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9"/>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690782"/>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2"/>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3"/>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4"/>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6"/>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potentially indicating that some of the social changes leading to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The frequency and spatial distribution of body ornaments at Kiwulan present three distinct patterns during different culture interaction periods. The greater amount and diversity of ornament types during the European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1" w:name="acknowledgments"/>
      <w:r>
        <w:t xml:space="preserve">Acknowledgments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and anonymous reviewers for their insightful comments on early drafts. I especially thank Ben Marwick for providing academic support during this project, helping me with polishing figures with R langauge,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8" w:name="refs"/>
    <w:bookmarkStart w:id="44"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4"/>
    <w:bookmarkStart w:id="45" w:name="ref-Andrade2007"/>
    <w:p>
      <w:pPr>
        <w:pStyle w:val="BodyText"/>
      </w:pPr>
      <w:r>
        <w:t xml:space="preserve">Andrade, T., 2007. How Taiwan became chinese : Dutch, spanish, and han colonization in the seventeenth century. Columbia University Press, New York.</w:t>
      </w:r>
    </w:p>
    <w:bookmarkEnd w:id="45"/>
    <w:bookmarkStart w:id="46" w:name="ref-Bellina2014"/>
    <w:p>
      <w:pPr>
        <w:pStyle w:val="BodyText"/>
      </w:pPr>
      <w:r>
        <w:t xml:space="preserve">Bellina, B., 2014. Maritime silk roads’ ornament industries: Socio-political practices and cultural transfers in the south china sea. Cambridge Archaeological Journal 24, 345–377.</w:t>
      </w:r>
    </w:p>
    <w:bookmarkEnd w:id="46"/>
    <w:bookmarkStart w:id="47"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7"/>
    <w:bookmarkStart w:id="48"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8"/>
    <w:bookmarkStart w:id="49"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9"/>
    <w:bookmarkStart w:id="50"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50"/>
    <w:bookmarkStart w:id="51" w:name="ref-Borao2001"/>
    <w:p>
      <w:pPr>
        <w:pStyle w:val="BodyText"/>
      </w:pPr>
      <w:r>
        <w:t xml:space="preserve">Borao, H., J. E., 2001. (SIT, pp. 1-343). Spaniards in taiwan, vol. I (1582–1641). SMC Publishing, Taipei.</w:t>
      </w:r>
    </w:p>
    <w:bookmarkEnd w:id="51"/>
    <w:bookmarkStart w:id="52" w:name="ref-Borao2009"/>
    <w:p>
      <w:pPr>
        <w:pStyle w:val="BodyText"/>
      </w:pPr>
      <w:r>
        <w:t xml:space="preserve">Borao, J.E., 2009. The spanish experience in Taiwan, 1626-1642: The baroque ending of a renaissance endeavor. Hong Kong University Press, Hong Kong.</w:t>
      </w:r>
    </w:p>
    <w:bookmarkEnd w:id="52"/>
    <w:bookmarkStart w:id="53" w:name="ref-Bowles2010"/>
    <w:p>
      <w:pPr>
        <w:pStyle w:val="BodyText"/>
      </w:pPr>
      <w:r>
        <w:t xml:space="preserve">Bowles, S., Smith, E., Mulder, M., 2010. The emergence and persistence of inequality in premodern societies. Current anthropology 51, 7–17.</w:t>
      </w:r>
    </w:p>
    <w:bookmarkEnd w:id="53"/>
    <w:bookmarkStart w:id="54"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4"/>
    <w:bookmarkStart w:id="55"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5"/>
    <w:bookmarkStart w:id="56" w:name="ref-Chen1963"/>
    <w:p>
      <w:pPr>
        <w:pStyle w:val="BodyText"/>
      </w:pPr>
      <w:r>
        <w:t xml:space="preserve">Chen, S., 1963. Kavalan ting zhi [kavalen culture history], taiwan wen xian cong kan di 106 zhong [taiwan literature series: 106]. Economic Research Office, Bank ofTaiwan, Taipei.</w:t>
      </w:r>
    </w:p>
    <w:bookmarkEnd w:id="56"/>
    <w:bookmarkStart w:id="57"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7"/>
    <w:bookmarkStart w:id="58" w:name="ref-Chen2007"/>
    <w:p>
      <w:pPr>
        <w:pStyle w:val="BodyText"/>
      </w:pPr>
      <w:r>
        <w:t xml:space="preserve">Chen, Y.-p., 2007. Qi wu lan yi zhi qiang jiu fa jue bao gao [ report on the archaeological excavations at ki-wu-lan site]. Lanyang museum, Yilan, Taiwan.</w:t>
      </w:r>
    </w:p>
    <w:bookmarkEnd w:id="58"/>
    <w:bookmarkStart w:id="59" w:name="ref-Cheng2008"/>
    <w:p>
      <w:pPr>
        <w:pStyle w:val="BodyText"/>
      </w:pPr>
      <w:r>
        <w:t xml:space="preserve">Cheng, C.-F., 2008. Qi wu lan yi zhi yu she nei yi zhi chu tu bo li zhu de xiang guan yan jiu [studies of glass beads excavated from kivulan and shenei site, taiwan]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ape2003"/>
    <w:p>
      <w:pPr>
        <w:pStyle w:val="BodyText"/>
      </w:pPr>
      <w:r>
        <w:t xml:space="preserve">Lape, P.V., 2003. A highway and a crossroads: Island southeast asia and culture contact archaeology. Archaeology in Oceania 38, 102–109.</w:t>
      </w:r>
    </w:p>
    <w:bookmarkEnd w:id="83"/>
    <w:bookmarkStart w:id="84" w:name="ref-Li2014"/>
    <w:p>
      <w:pPr>
        <w:pStyle w:val="BodyText"/>
      </w:pPr>
      <w:r>
        <w:t xml:space="preserve">Li, C.-y., Chiu, S.-j., 2014. A report on excavations in the yi-lang agricultural vocational high school site, 2000-2008. Field Archaeology of Taiwan 17, 59–120.</w:t>
      </w:r>
    </w:p>
    <w:bookmarkEnd w:id="84"/>
    <w:bookmarkStart w:id="85" w:name="ref-LiandWu2006"/>
    <w:p>
      <w:pPr>
        <w:pStyle w:val="BodyText"/>
      </w:pPr>
      <w:r>
        <w:t xml:space="preserve">Li, Y.-z., Wu, M.-z., 2006. Qing zai xi ban ya ren zai tai wan, 1626-1642 [the spanish in Taiwan]. Taiwan Historica, Nantou.</w:t>
      </w:r>
    </w:p>
    <w:bookmarkEnd w:id="85"/>
    <w:bookmarkStart w:id="86" w:name="ref-Liu2008"/>
    <w:p>
      <w:pPr>
        <w:pStyle w:val="BodyText"/>
      </w:pPr>
      <w:r>
        <w:t xml:space="preserve">Liu, P.-c., 2008. Identity, gender and settlement: Ritual studies of changing kavalan. Taiwan Historica, Nantou: Council of Indigenous Peoples, Executive Yuan.</w:t>
      </w:r>
    </w:p>
    <w:bookmarkEnd w:id="86"/>
    <w:bookmarkStart w:id="87"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7"/>
    <w:bookmarkStart w:id="88" w:name="ref-Marwick2017"/>
    <w:p>
      <w:pPr>
        <w:pStyle w:val="BodyText"/>
      </w:pPr>
      <w:r>
        <w:t xml:space="preserve">Marwick, B., 2017. Computational reproducibility in archaeological research: Basic principles and a case study of their implementation. Journal of Archaeological Method and Theory 24, 424–450.</w:t>
      </w:r>
    </w:p>
    <w:bookmarkEnd w:id="88"/>
    <w:bookmarkStart w:id="89" w:name="ref-Marwick2018"/>
    <w:p>
      <w:pPr>
        <w:pStyle w:val="BodyText"/>
      </w:pPr>
      <w:r>
        <w:t xml:space="preserve">Marwick, B., Boettiger, C., Mullen, L., 2018. Packaging data analytical work reproducibly using r (and friends). The American Statistician 72, 80–88.</w:t>
      </w:r>
    </w:p>
    <w:bookmarkEnd w:id="89"/>
    <w:bookmarkStart w:id="90"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90"/>
    <w:bookmarkStart w:id="91" w:name="ref-Mullins2011"/>
    <w:p>
      <w:pPr>
        <w:pStyle w:val="BodyText"/>
      </w:pPr>
      <w:r>
        <w:t xml:space="preserve">Mullins, P.R., 2011. The archaeology of consumption. Annual Review of Anthropology 40, 133–144.</w:t>
      </w:r>
    </w:p>
    <w:bookmarkEnd w:id="91"/>
    <w:bookmarkStart w:id="92" w:name="ref-Nakamura1938"/>
    <w:p>
      <w:pPr>
        <w:pStyle w:val="BodyText"/>
      </w:pPr>
      <w:r>
        <w:t xml:space="preserve">Nakamura, 1938. Overgekomen brieven en papieren. [The dutch cencus record for indigenous peoples in taiwan]. Southern Anthropological Studies 4, 12.</w:t>
      </w:r>
    </w:p>
    <w:bookmarkEnd w:id="92"/>
    <w:bookmarkStart w:id="93"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3"/>
    <w:bookmarkStart w:id="94" w:name="ref-Rlanguage2019"/>
    <w:p>
      <w:pPr>
        <w:pStyle w:val="BodyText"/>
      </w:pPr>
      <w:r>
        <w:t xml:space="preserve">R Core Team, 2019. R: A language and environment for statistical computing. R Foundation for Statistical Computing, Vienna, Austria.</w:t>
      </w:r>
    </w:p>
    <w:bookmarkEnd w:id="94"/>
    <w:bookmarkStart w:id="95" w:name="ref-Rubertone2000"/>
    <w:p>
      <w:pPr>
        <w:pStyle w:val="BodyText"/>
      </w:pPr>
      <w:r>
        <w:t xml:space="preserve">Rubertone, P.E., 2000. The historical archaeology of native americans. Annual Review of Anthropology 29, 425–446.</w:t>
      </w:r>
    </w:p>
    <w:bookmarkEnd w:id="95"/>
    <w:bookmarkStart w:id="96" w:name="ref-Scaramelli2005"/>
    <w:p>
      <w:pPr>
        <w:pStyle w:val="BodyText"/>
      </w:pPr>
      <w:r>
        <w:t xml:space="preserve">Scaramelli, F., Scaramelli, K.T. de, 2005. The roles of material culture in the colonization of the orinoco, venezuela. Journal of Social Archaeology 5, 135–168.</w:t>
      </w:r>
    </w:p>
    <w:bookmarkEnd w:id="96"/>
    <w:bookmarkStart w:id="97" w:name="ref-Siegel1999"/>
    <w:p>
      <w:pPr>
        <w:pStyle w:val="BodyText"/>
      </w:pPr>
      <w:r>
        <w:t xml:space="preserve">Siegel, P.E., 1999. Contested places and places of contest: The evolution of social power and ceremonial space in prehistoric Puerto Rico. Latin American Antiquity 209–238.</w:t>
      </w:r>
    </w:p>
    <w:bookmarkEnd w:id="97"/>
    <w:bookmarkStart w:id="98" w:name="ref-Silliman2001"/>
    <w:p>
      <w:pPr>
        <w:pStyle w:val="BodyText"/>
      </w:pPr>
      <w:r>
        <w:t xml:space="preserve">Silliman, S., 2001. Agency, practical politics and the archaeology of culture contact. Journal of social archaeology 1, 190–209.</w:t>
      </w:r>
    </w:p>
    <w:bookmarkEnd w:id="98"/>
    <w:bookmarkStart w:id="99" w:name="ref-Silliman2005"/>
    <w:p>
      <w:pPr>
        <w:pStyle w:val="BodyText"/>
      </w:pPr>
      <w:r>
        <w:t xml:space="preserve">Silliman, S.W., 2005. Culture contact or colonialism? Challenges in the archaeology of native North America. American Antiquity 55–74.</w:t>
      </w:r>
    </w:p>
    <w:bookmarkEnd w:id="99"/>
    <w:bookmarkStart w:id="100"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100"/>
    <w:bookmarkStart w:id="101"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101"/>
    <w:bookmarkStart w:id="102"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102"/>
    <w:bookmarkStart w:id="103" w:name="ref-Trabert2017"/>
    <w:p>
      <w:pPr>
        <w:pStyle w:val="BodyText"/>
      </w:pPr>
      <w:r>
        <w:t xml:space="preserve">Trabert, S., 2017. Considering the indirect effects of colonialism: Example from a great plains middle ground. Journal of Anthropological Archaeology 48, 17–27.</w:t>
      </w:r>
    </w:p>
    <w:bookmarkEnd w:id="103"/>
    <w:bookmarkStart w:id="104" w:name="ref-Voss2005"/>
    <w:p>
      <w:pPr>
        <w:pStyle w:val="BodyText"/>
      </w:pPr>
      <w:r>
        <w:t xml:space="preserve">Voss, B.L., 2005. From casta to californio: Social identity and the archaeology of culture contact. American Anthropologist 107, 461–474.</w:t>
      </w:r>
    </w:p>
    <w:bookmarkEnd w:id="104"/>
    <w:bookmarkStart w:id="105" w:name="ref-Wang2011"/>
    <w:p>
      <w:pPr>
        <w:pStyle w:val="BodyText"/>
      </w:pPr>
      <w:r>
        <w:t xml:space="preserve">Wang, L.-Y., 2011. Yi lan qi wu lan yi zhi chu tu zhuang shi pin zhi xiang guan yan jiu [a research of ornaments excavated at ki-wu-lan site, i-lan] (Master’s thesis).</w:t>
      </w:r>
    </w:p>
    <w:bookmarkEnd w:id="105"/>
    <w:bookmarkStart w:id="106"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6"/>
    <w:bookmarkStart w:id="107" w:name="ref-Yao1996"/>
    <w:p>
      <w:pPr>
        <w:pStyle w:val="BodyText"/>
      </w:pPr>
      <w:r>
        <w:t xml:space="preserve">Yao, ying, 1996. Dong cha ji lue [record of taiwan], taiwan wen xian cong kan di 007 zhong [taiwan literature series: 007]. Taiwan Historica, Nantou.</w:t>
      </w:r>
    </w:p>
    <w:bookmarkEnd w:id="107"/>
    <w:bookmarkEnd w:id="108"/>
    <w:p>
      <w:pPr>
        <w:pStyle w:val="Heading5"/>
      </w:pPr>
      <w:bookmarkStart w:id="109" w:name="pagebreak-1"/>
      <w:r>
        <w:t xml:space="preserve">pagebreak</w:t>
      </w:r>
      <w:bookmarkEnd w:id="109"/>
    </w:p>
    <w:p>
      <w:pPr>
        <w:pStyle w:val="Heading3"/>
      </w:pPr>
      <w:bookmarkStart w:id="110" w:name="colophon"/>
      <w:r>
        <w:t xml:space="preserve">Colophon</w:t>
      </w:r>
      <w:bookmarkEnd w:id="110"/>
    </w:p>
    <w:p>
      <w:pPr>
        <w:pStyle w:val="FirstParagraph"/>
      </w:pPr>
      <w:r>
        <w:t xml:space="preserve">This report was generated on 2019-08-22 15:56:34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2019-08-22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0.11    2019-05-28 [2]</w:t>
      </w:r>
      <w:r>
        <w:br w:type="textWrapping"/>
      </w:r>
      <w:r>
        <w:rPr>
          <w:rStyle w:val="VerbatimChar"/>
        </w:rPr>
        <w:t xml:space="preserve">#&gt;  broom            0.5.2   2019-04-07 [2]</w:t>
      </w:r>
      <w:r>
        <w:br w:type="textWrapping"/>
      </w:r>
      <w:r>
        <w:rPr>
          <w:rStyle w:val="VerbatimChar"/>
        </w:rPr>
        <w:t xml:space="preserve">#&gt;  callr            3.2.0   2019-03-15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2.0.2   2019-04-08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1.23    2019-05-18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1.0.3   2019-03-20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3.3.1   2019-05-08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1.13    2019-05-22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2.1.1   2019-04-23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1.5.0   2019-04-07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0.8     2019-06-25 [2]</w:t>
      </w:r>
      <w:r>
        <w:br w:type="textWrapping"/>
      </w:r>
      <w:r>
        <w:rPr>
          <w:rStyle w:val="VerbatimChar"/>
        </w:rPr>
        <w:t xml:space="preserve">#&gt;  xml2             1.2.0   2018-01-24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[ae27f17] 2019-08-22: edited based on committee's comments</w:t>
      </w:r>
    </w:p>
    <w:p>
      <w:pPr>
        <w:pStyle w:val="FirstParagraph"/>
      </w:pPr>
      <w:r>
        <w:t xml:space="preserve">Word count: 5038</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2019-08-22T22:56:42Z</dcterms:created>
  <dcterms:modified xsi:type="dcterms:W3CDTF">2019-08-22T22:56:42Z</dcterms:modified>
</cp:coreProperties>
</file>